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E4" w:rsidRDefault="00D34EE4" w:rsidP="0044027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4"/>
          <w:szCs w:val="24"/>
        </w:rPr>
      </w:pPr>
      <w:r w:rsidRPr="00D34EE4">
        <w:rPr>
          <w:rFonts w:ascii="Cambria-Bold" w:hAnsi="Cambria-Bold" w:cs="Cambria-Bold"/>
          <w:b/>
          <w:bCs/>
          <w:sz w:val="34"/>
          <w:szCs w:val="24"/>
        </w:rPr>
        <w:t>Policy Resolution on Women’s Privacy and Security Rights</w:t>
      </w:r>
    </w:p>
    <w:p w:rsidR="0044027E" w:rsidRPr="005A13D6" w:rsidRDefault="00D34EE4" w:rsidP="0044027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4"/>
          <w:szCs w:val="24"/>
        </w:rPr>
      </w:pPr>
      <w:r>
        <w:rPr>
          <w:rFonts w:ascii="Cambria-Bold" w:hAnsi="Cambria-Bold" w:cs="Cambria-Bold"/>
          <w:b/>
          <w:bCs/>
          <w:sz w:val="34"/>
          <w:szCs w:val="24"/>
        </w:rPr>
        <w:t xml:space="preserve">Under the </w:t>
      </w:r>
      <w:r w:rsidR="0044027E" w:rsidRPr="005A13D6">
        <w:rPr>
          <w:rFonts w:ascii="Cambria-Bold" w:hAnsi="Cambria-Bold" w:cs="Cambria-Bold"/>
          <w:b/>
          <w:bCs/>
          <w:sz w:val="34"/>
          <w:szCs w:val="24"/>
        </w:rPr>
        <w:t>Category</w:t>
      </w:r>
      <w:r>
        <w:rPr>
          <w:rFonts w:ascii="Cambria-Bold" w:hAnsi="Cambria-Bold" w:cs="Cambria-Bold"/>
          <w:b/>
          <w:bCs/>
          <w:sz w:val="34"/>
          <w:szCs w:val="24"/>
        </w:rPr>
        <w:t xml:space="preserve"> of</w:t>
      </w:r>
      <w:r w:rsidR="0044027E" w:rsidRPr="005A13D6">
        <w:rPr>
          <w:rFonts w:ascii="Cambria-Bold" w:hAnsi="Cambria-Bold" w:cs="Cambria-Bold"/>
          <w:b/>
          <w:bCs/>
          <w:sz w:val="34"/>
          <w:szCs w:val="24"/>
        </w:rPr>
        <w:t>:</w:t>
      </w:r>
      <w:bookmarkStart w:id="0" w:name="_GoBack"/>
      <w:bookmarkEnd w:id="0"/>
      <w:r w:rsidR="0044027E" w:rsidRPr="005A13D6">
        <w:rPr>
          <w:rFonts w:ascii="Cambria-Bold" w:hAnsi="Cambria-Bold" w:cs="Cambria-Bold"/>
          <w:b/>
          <w:bCs/>
          <w:sz w:val="34"/>
          <w:szCs w:val="24"/>
        </w:rPr>
        <w:t xml:space="preserve">  </w:t>
      </w:r>
      <w:r w:rsidR="0044027E" w:rsidRPr="005A13D6">
        <w:rPr>
          <w:rFonts w:ascii="Cambria-Bold" w:hAnsi="Cambria-Bold" w:cs="Cambria-Bold"/>
          <w:b/>
          <w:bCs/>
          <w:sz w:val="34"/>
          <w:szCs w:val="24"/>
        </w:rPr>
        <w:tab/>
        <w:t>SOCIAL POLICY</w:t>
      </w:r>
    </w:p>
    <w:p w:rsidR="0044027E" w:rsidRPr="005A13D6" w:rsidRDefault="0044027E" w:rsidP="0044027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  <w:u w:val="single"/>
        </w:rPr>
      </w:pPr>
      <w:r w:rsidRPr="005A13D6">
        <w:rPr>
          <w:rFonts w:ascii="Cambria-Bold" w:hAnsi="Cambria-Bold" w:cs="Cambria-Bold"/>
          <w:b/>
          <w:bCs/>
          <w:noProof/>
          <w:sz w:val="26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16537" wp14:editId="2604E153">
                <wp:simplePos x="0" y="0"/>
                <wp:positionH relativeFrom="column">
                  <wp:posOffset>1905</wp:posOffset>
                </wp:positionH>
                <wp:positionV relativeFrom="paragraph">
                  <wp:posOffset>66040</wp:posOffset>
                </wp:positionV>
                <wp:extent cx="6381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A6F8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2pt" to="50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44027E" w:rsidRPr="00D34EE4" w:rsidRDefault="0044027E" w:rsidP="0044027E">
      <w:pPr>
        <w:rPr>
          <w:sz w:val="24"/>
        </w:rPr>
      </w:pPr>
      <w:r w:rsidRPr="00D34EE4">
        <w:rPr>
          <w:sz w:val="24"/>
        </w:rPr>
        <w:t>Be it resolved that a new section is added (Women), under the category of Social Policy, as follows:</w:t>
      </w:r>
    </w:p>
    <w:p w:rsidR="0044027E" w:rsidRPr="005A13D6" w:rsidRDefault="0044027E" w:rsidP="0044027E">
      <w:pPr>
        <w:rPr>
          <w:b/>
          <w:sz w:val="24"/>
        </w:rPr>
      </w:pPr>
      <w:r w:rsidRPr="005A13D6">
        <w:rPr>
          <w:b/>
          <w:sz w:val="24"/>
        </w:rPr>
        <w:t xml:space="preserve">“To protect the privacy and security of women, we do not support legislation on </w:t>
      </w:r>
      <w:r w:rsidRPr="005A13D6">
        <w:rPr>
          <w:b/>
          <w:color w:val="000000" w:themeColor="text1"/>
          <w:sz w:val="24"/>
        </w:rPr>
        <w:t>‘</w:t>
      </w:r>
      <w:r w:rsidRPr="005A13D6">
        <w:rPr>
          <w:b/>
          <w:sz w:val="24"/>
        </w:rPr>
        <w:t>gender identity</w:t>
      </w:r>
      <w:r w:rsidRPr="005A13D6">
        <w:rPr>
          <w:b/>
          <w:color w:val="000000" w:themeColor="text1"/>
          <w:sz w:val="24"/>
        </w:rPr>
        <w:t>’</w:t>
      </w:r>
      <w:r w:rsidRPr="005A13D6">
        <w:rPr>
          <w:b/>
          <w:color w:val="00B050"/>
          <w:sz w:val="24"/>
        </w:rPr>
        <w:t xml:space="preserve"> </w:t>
      </w:r>
      <w:r w:rsidRPr="005A13D6">
        <w:rPr>
          <w:b/>
          <w:sz w:val="24"/>
        </w:rPr>
        <w:t xml:space="preserve">or </w:t>
      </w:r>
      <w:r w:rsidRPr="005A13D6">
        <w:rPr>
          <w:b/>
          <w:color w:val="000000" w:themeColor="text1"/>
          <w:sz w:val="24"/>
        </w:rPr>
        <w:t>‘</w:t>
      </w:r>
      <w:r w:rsidRPr="005A13D6">
        <w:rPr>
          <w:b/>
          <w:sz w:val="24"/>
        </w:rPr>
        <w:t>gender expression</w:t>
      </w:r>
      <w:r w:rsidRPr="005A13D6">
        <w:rPr>
          <w:b/>
          <w:color w:val="000000" w:themeColor="text1"/>
          <w:sz w:val="24"/>
        </w:rPr>
        <w:t>’</w:t>
      </w:r>
      <w:r w:rsidRPr="005A13D6">
        <w:rPr>
          <w:b/>
          <w:sz w:val="24"/>
        </w:rPr>
        <w:t xml:space="preserve"> which grants biological males the legal right to access female bathrooms, change rooms</w:t>
      </w:r>
      <w:r w:rsidRPr="005A13D6">
        <w:rPr>
          <w:b/>
          <w:color w:val="000000" w:themeColor="text1"/>
          <w:sz w:val="24"/>
        </w:rPr>
        <w:t>,</w:t>
      </w:r>
      <w:r w:rsidRPr="005A13D6">
        <w:rPr>
          <w:b/>
          <w:sz w:val="24"/>
        </w:rPr>
        <w:t xml:space="preserve"> and showers. Such a law puts women and young girls at greater risk from male sexual predators and voyeurs.”</w:t>
      </w:r>
    </w:p>
    <w:p w:rsidR="0044027E" w:rsidRPr="005A13D6" w:rsidRDefault="0044027E" w:rsidP="0044027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</w:rPr>
      </w:pPr>
    </w:p>
    <w:p w:rsidR="0044027E" w:rsidRPr="005A13D6" w:rsidRDefault="0044027E" w:rsidP="0044027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B050"/>
          <w:sz w:val="26"/>
          <w:szCs w:val="24"/>
        </w:rPr>
      </w:pPr>
      <w:r w:rsidRPr="005A13D6">
        <w:rPr>
          <w:rFonts w:ascii="Cambria-Bold" w:hAnsi="Cambria-Bold" w:cs="Cambria-Bold"/>
          <w:b/>
          <w:bCs/>
          <w:sz w:val="26"/>
          <w:szCs w:val="24"/>
        </w:rPr>
        <w:t>Rationale</w:t>
      </w:r>
    </w:p>
    <w:p w:rsidR="0044027E" w:rsidRPr="005A13D6" w:rsidRDefault="0044027E" w:rsidP="0044027E">
      <w:pPr>
        <w:pStyle w:val="ListParagraph"/>
        <w:numPr>
          <w:ilvl w:val="0"/>
          <w:numId w:val="1"/>
        </w:numPr>
        <w:rPr>
          <w:sz w:val="16"/>
        </w:rPr>
      </w:pPr>
      <w:r w:rsidRPr="005A13D6">
        <w:rPr>
          <w:sz w:val="24"/>
        </w:rPr>
        <w:t>Allowing grown men</w:t>
      </w:r>
      <w:r w:rsidRPr="005A13D6">
        <w:rPr>
          <w:color w:val="00B050"/>
          <w:sz w:val="24"/>
        </w:rPr>
        <w:t>,</w:t>
      </w:r>
      <w:r w:rsidRPr="005A13D6">
        <w:rPr>
          <w:sz w:val="24"/>
        </w:rPr>
        <w:t xml:space="preserve"> who have not undergone sex-change surgery, open access to private female facilities represents a violation of the privacy and security rights of women and young girls.</w:t>
      </w:r>
      <w:r w:rsidRPr="005A13D6">
        <w:rPr>
          <w:sz w:val="24"/>
        </w:rPr>
        <w:br/>
      </w:r>
    </w:p>
    <w:p w:rsidR="0044027E" w:rsidRPr="005A13D6" w:rsidRDefault="0044027E" w:rsidP="0044027E">
      <w:pPr>
        <w:pStyle w:val="ListParagraph"/>
        <w:numPr>
          <w:ilvl w:val="0"/>
          <w:numId w:val="1"/>
        </w:numPr>
        <w:rPr>
          <w:sz w:val="24"/>
        </w:rPr>
      </w:pPr>
      <w:r w:rsidRPr="005A13D6">
        <w:rPr>
          <w:sz w:val="24"/>
        </w:rPr>
        <w:t xml:space="preserve">Intruding on a woman or young girl’s privacy, especially where they may be partially or fully disrobed, can be intensely frightening and traumatic. Just imagine how a </w:t>
      </w:r>
      <w:r w:rsidRPr="005A13D6">
        <w:rPr>
          <w:color w:val="000000" w:themeColor="text1"/>
          <w:sz w:val="24"/>
        </w:rPr>
        <w:t xml:space="preserve">9-year-old </w:t>
      </w:r>
      <w:r w:rsidRPr="005A13D6">
        <w:rPr>
          <w:sz w:val="24"/>
        </w:rPr>
        <w:t>girl alone in the bathroom would feel</w:t>
      </w:r>
      <w:r w:rsidRPr="005A13D6">
        <w:rPr>
          <w:color w:val="00B050"/>
          <w:sz w:val="24"/>
        </w:rPr>
        <w:t xml:space="preserve"> </w:t>
      </w:r>
      <w:r w:rsidRPr="005A13D6">
        <w:rPr>
          <w:sz w:val="24"/>
        </w:rPr>
        <w:t xml:space="preserve">when suddenly, a grown man appears. Is it fair to place the onus on that little girl to discern whether the man is a predator, or merely an innocent person “expressing his gender” in a non-conforming manner? </w:t>
      </w:r>
    </w:p>
    <w:p w:rsidR="0044027E" w:rsidRPr="005A13D6" w:rsidRDefault="0044027E" w:rsidP="0044027E">
      <w:pPr>
        <w:pStyle w:val="ListParagraph"/>
        <w:ind w:left="360"/>
        <w:rPr>
          <w:sz w:val="14"/>
        </w:rPr>
      </w:pPr>
    </w:p>
    <w:p w:rsidR="0044027E" w:rsidRPr="005A13D6" w:rsidRDefault="0044027E" w:rsidP="0044027E">
      <w:pPr>
        <w:pStyle w:val="ListParagraph"/>
        <w:numPr>
          <w:ilvl w:val="0"/>
          <w:numId w:val="1"/>
        </w:numPr>
        <w:rPr>
          <w:sz w:val="24"/>
        </w:rPr>
      </w:pPr>
      <w:r w:rsidRPr="005A13D6">
        <w:rPr>
          <w:sz w:val="24"/>
        </w:rPr>
        <w:t xml:space="preserve">Ontario’s gender identity/expression law, passed as Bill 33 under the Liberal government of Premier Dalton </w:t>
      </w:r>
      <w:proofErr w:type="spellStart"/>
      <w:r w:rsidRPr="005A13D6">
        <w:rPr>
          <w:sz w:val="24"/>
        </w:rPr>
        <w:t>McGuinty</w:t>
      </w:r>
      <w:proofErr w:type="spellEnd"/>
      <w:r w:rsidRPr="005A13D6">
        <w:rPr>
          <w:color w:val="00B050"/>
          <w:sz w:val="24"/>
        </w:rPr>
        <w:t>,</w:t>
      </w:r>
      <w:r w:rsidRPr="005A13D6">
        <w:rPr>
          <w:sz w:val="24"/>
        </w:rPr>
        <w:t xml:space="preserve"> does not require a man to have first undergone a sex-change operation, nor to be taking hormone therapy, nor even to dress as the opposite sex, in order to access female-only spaces. </w:t>
      </w:r>
    </w:p>
    <w:p w:rsidR="0044027E" w:rsidRPr="005A13D6" w:rsidRDefault="0044027E" w:rsidP="0044027E">
      <w:pPr>
        <w:pStyle w:val="ListParagraph"/>
        <w:ind w:left="360"/>
        <w:rPr>
          <w:sz w:val="14"/>
        </w:rPr>
      </w:pPr>
    </w:p>
    <w:p w:rsidR="0044027E" w:rsidRPr="005A13D6" w:rsidRDefault="0044027E" w:rsidP="0044027E">
      <w:pPr>
        <w:pStyle w:val="ListParagraph"/>
        <w:numPr>
          <w:ilvl w:val="0"/>
          <w:numId w:val="1"/>
        </w:numPr>
        <w:rPr>
          <w:sz w:val="24"/>
        </w:rPr>
      </w:pPr>
      <w:r w:rsidRPr="005A13D6">
        <w:rPr>
          <w:sz w:val="24"/>
        </w:rPr>
        <w:t xml:space="preserve">Male sexual predators and peeping toms can use “Gender Identity/Expression” laws as </w:t>
      </w:r>
      <w:r w:rsidRPr="005A13D6">
        <w:rPr>
          <w:color w:val="000000" w:themeColor="text1"/>
          <w:sz w:val="24"/>
        </w:rPr>
        <w:t>a</w:t>
      </w:r>
      <w:r w:rsidRPr="005A13D6">
        <w:rPr>
          <w:color w:val="00B050"/>
          <w:sz w:val="24"/>
        </w:rPr>
        <w:t xml:space="preserve"> </w:t>
      </w:r>
      <w:r w:rsidRPr="005A13D6">
        <w:rPr>
          <w:color w:val="000000" w:themeColor="text1"/>
          <w:sz w:val="24"/>
        </w:rPr>
        <w:t>loophole</w:t>
      </w:r>
      <w:r w:rsidRPr="005A13D6">
        <w:rPr>
          <w:color w:val="00B050"/>
          <w:sz w:val="24"/>
        </w:rPr>
        <w:t xml:space="preserve"> </w:t>
      </w:r>
      <w:r w:rsidRPr="005A13D6">
        <w:rPr>
          <w:sz w:val="24"/>
        </w:rPr>
        <w:t xml:space="preserve">to get in close quarters with potential female victims, by pretending to be a “transgender woman”. </w:t>
      </w:r>
    </w:p>
    <w:p w:rsidR="0044027E" w:rsidRPr="005A13D6" w:rsidRDefault="0044027E" w:rsidP="0044027E">
      <w:pPr>
        <w:pStyle w:val="ListParagraph"/>
        <w:ind w:left="360"/>
        <w:rPr>
          <w:sz w:val="14"/>
        </w:rPr>
      </w:pPr>
    </w:p>
    <w:p w:rsidR="0044027E" w:rsidRPr="005A13D6" w:rsidRDefault="0044027E" w:rsidP="0044027E">
      <w:pPr>
        <w:pStyle w:val="ListParagraph"/>
        <w:numPr>
          <w:ilvl w:val="0"/>
          <w:numId w:val="1"/>
        </w:numPr>
        <w:rPr>
          <w:sz w:val="24"/>
        </w:rPr>
      </w:pPr>
      <w:r w:rsidRPr="005A13D6">
        <w:rPr>
          <w:sz w:val="24"/>
        </w:rPr>
        <w:t xml:space="preserve">Canadian examples of male sexual predators and voyeurs taking advantage of “gender identity” policies are on the rise. For example, </w:t>
      </w:r>
      <w:r w:rsidRPr="005A13D6">
        <w:rPr>
          <w:color w:val="000000" w:themeColor="text1"/>
          <w:sz w:val="24"/>
        </w:rPr>
        <w:t xml:space="preserve">a </w:t>
      </w:r>
      <w:r w:rsidRPr="005A13D6">
        <w:rPr>
          <w:sz w:val="24"/>
        </w:rPr>
        <w:t xml:space="preserve">convicted sexual predator, Christopher </w:t>
      </w:r>
      <w:proofErr w:type="spellStart"/>
      <w:r w:rsidRPr="005A13D6">
        <w:rPr>
          <w:sz w:val="24"/>
        </w:rPr>
        <w:t>Hambrook</w:t>
      </w:r>
      <w:proofErr w:type="spellEnd"/>
      <w:r w:rsidRPr="005A13D6">
        <w:rPr>
          <w:sz w:val="24"/>
        </w:rPr>
        <w:t xml:space="preserve">, was jailed indefinitely in 2014. By pretending to be a transgender “woman” named Jessica, he was </w:t>
      </w:r>
      <w:hyperlink r:id="rId5" w:history="1">
        <w:r w:rsidRPr="005A13D6">
          <w:rPr>
            <w:rStyle w:val="Hyperlink"/>
            <w:color w:val="000000" w:themeColor="text1"/>
            <w:sz w:val="24"/>
            <w:u w:val="none"/>
          </w:rPr>
          <w:t>granted access</w:t>
        </w:r>
      </w:hyperlink>
      <w:r w:rsidRPr="005A13D6">
        <w:rPr>
          <w:sz w:val="24"/>
        </w:rPr>
        <w:t xml:space="preserve"> to two Toronto women’s shelters. Once inside, he sexually-assaulted </w:t>
      </w:r>
      <w:r w:rsidRPr="005A13D6">
        <w:rPr>
          <w:color w:val="000000" w:themeColor="text1"/>
          <w:sz w:val="24"/>
        </w:rPr>
        <w:t xml:space="preserve">two </w:t>
      </w:r>
      <w:r w:rsidRPr="005A13D6">
        <w:rPr>
          <w:sz w:val="24"/>
        </w:rPr>
        <w:t xml:space="preserve">vulnerable women. </w:t>
      </w:r>
    </w:p>
    <w:p w:rsidR="0044027E" w:rsidRPr="005A13D6" w:rsidRDefault="0044027E" w:rsidP="0044027E">
      <w:pPr>
        <w:pStyle w:val="ListParagraph"/>
        <w:ind w:left="360"/>
        <w:rPr>
          <w:sz w:val="14"/>
        </w:rPr>
      </w:pPr>
    </w:p>
    <w:p w:rsidR="00A609F9" w:rsidRPr="0044027E" w:rsidRDefault="0044027E" w:rsidP="0044027E">
      <w:pPr>
        <w:pStyle w:val="ListParagraph"/>
        <w:numPr>
          <w:ilvl w:val="0"/>
          <w:numId w:val="1"/>
        </w:numPr>
        <w:rPr>
          <w:sz w:val="18"/>
        </w:rPr>
      </w:pPr>
      <w:r w:rsidRPr="005A13D6">
        <w:rPr>
          <w:sz w:val="24"/>
        </w:rPr>
        <w:t xml:space="preserve">An example of how peeping toms exploited a school’s “gender identity” policy was brought to light in 2015. A particular co-ed residence at the University of Toronto’s elite </w:t>
      </w:r>
      <w:r w:rsidRPr="005A13D6">
        <w:rPr>
          <w:color w:val="000000" w:themeColor="text1"/>
          <w:sz w:val="24"/>
        </w:rPr>
        <w:t>University College</w:t>
      </w:r>
      <w:r w:rsidRPr="005A13D6">
        <w:rPr>
          <w:sz w:val="24"/>
        </w:rPr>
        <w:t xml:space="preserve">, had a policy of providing only “gender neutral” bathroom and shower facilities to its students, to accommodate those who consider themselves “transgender”. Two incidents of abuse occurred </w:t>
      </w:r>
      <w:r w:rsidRPr="005A13D6">
        <w:rPr>
          <w:color w:val="000000" w:themeColor="text1"/>
          <w:sz w:val="24"/>
        </w:rPr>
        <w:t xml:space="preserve">in </w:t>
      </w:r>
      <w:r w:rsidRPr="005A13D6">
        <w:rPr>
          <w:sz w:val="24"/>
        </w:rPr>
        <w:t xml:space="preserve">September which prompted the school to backtrack on its policy. According to reports by young women, male students held their cell phones above the shower stall dividers in these gender-neutral, communal washrooms, to record them as they showered. As a result of this voyeurism, the school was forced to </w:t>
      </w:r>
      <w:hyperlink r:id="rId6" w:history="1">
        <w:r w:rsidRPr="005A13D6">
          <w:rPr>
            <w:rStyle w:val="Hyperlink"/>
            <w:color w:val="000000" w:themeColor="text1"/>
            <w:sz w:val="24"/>
            <w:u w:val="none"/>
          </w:rPr>
          <w:t>re-establish separate male and female washrooms</w:t>
        </w:r>
      </w:hyperlink>
      <w:r w:rsidRPr="005A13D6">
        <w:rPr>
          <w:color w:val="000000" w:themeColor="text1"/>
          <w:sz w:val="24"/>
        </w:rPr>
        <w:t xml:space="preserve"> </w:t>
      </w:r>
      <w:r w:rsidRPr="005A13D6">
        <w:rPr>
          <w:sz w:val="24"/>
        </w:rPr>
        <w:t>for students.</w:t>
      </w:r>
    </w:p>
    <w:sectPr w:rsidR="00A609F9" w:rsidRPr="0044027E" w:rsidSect="00D34EE4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732"/>
    <w:multiLevelType w:val="hybridMultilevel"/>
    <w:tmpl w:val="C8E20F6A"/>
    <w:lvl w:ilvl="0" w:tplc="936C34BE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7E"/>
    <w:rsid w:val="001C03BE"/>
    <w:rsid w:val="0044027E"/>
    <w:rsid w:val="008C1174"/>
    <w:rsid w:val="00AE3B8E"/>
    <w:rsid w:val="00D3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B8DAF-2CCC-48F4-9CE9-7BD663C1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2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27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4027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ffingtonpost.ca/2015/10/06/u-of-t-bathrooms-voyeurism_n_8253970.html" TargetMode="External"/><Relationship Id="rId5" Type="http://schemas.openxmlformats.org/officeDocument/2006/relationships/hyperlink" Target="http://www.torontosun.com/2014/02/26/predator-who-claimed-to-be-transgender-declared-dangerous-off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GuestUser</dc:creator>
  <cp:keywords/>
  <dc:description/>
  <cp:lastModifiedBy>GuestUser</cp:lastModifiedBy>
  <cp:revision>3</cp:revision>
  <cp:lastPrinted>2016-08-02T16:36:00Z</cp:lastPrinted>
  <dcterms:created xsi:type="dcterms:W3CDTF">2016-08-02T16:37:00Z</dcterms:created>
  <dcterms:modified xsi:type="dcterms:W3CDTF">2016-08-02T16:38:00Z</dcterms:modified>
</cp:coreProperties>
</file>